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92590F" w14:textId="4493DD2E" w:rsidR="0017582B" w:rsidRPr="00C76531" w:rsidRDefault="000C3660" w:rsidP="000C3660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 xml:space="preserve">Furniture - </w:t>
      </w:r>
      <w:r w:rsidR="0086740E" w:rsidRPr="00C76531">
        <w:rPr>
          <w:rFonts w:ascii="Arial" w:hAnsi="Arial" w:cs="Arial"/>
          <w:b/>
          <w:bCs/>
          <w:sz w:val="24"/>
          <w:szCs w:val="24"/>
        </w:rPr>
        <w:t>Resource</w:t>
      </w:r>
      <w:r w:rsidRPr="00C76531">
        <w:rPr>
          <w:rFonts w:ascii="Arial" w:hAnsi="Arial" w:cs="Arial"/>
          <w:b/>
          <w:bCs/>
          <w:sz w:val="24"/>
          <w:szCs w:val="24"/>
        </w:rPr>
        <w:t>s</w:t>
      </w:r>
    </w:p>
    <w:p w14:paraId="1AA4ADCC" w14:textId="6286CEFE" w:rsidR="0086740E" w:rsidRPr="00C76531" w:rsidRDefault="0086740E" w:rsidP="000C3660">
      <w:pPr>
        <w:spacing w:after="0"/>
        <w:rPr>
          <w:rFonts w:ascii="Arial" w:hAnsi="Arial" w:cs="Arial"/>
          <w:sz w:val="24"/>
          <w:szCs w:val="24"/>
        </w:rPr>
      </w:pPr>
      <w:r w:rsidRPr="00C76531">
        <w:rPr>
          <w:rFonts w:ascii="Arial" w:hAnsi="Arial" w:cs="Arial"/>
          <w:sz w:val="24"/>
          <w:szCs w:val="24"/>
        </w:rPr>
        <w:t>This resource document covers furniture procured by public sector organisations, including office furniture, domestic</w:t>
      </w:r>
      <w:r w:rsidR="000C3660" w:rsidRPr="00C76531">
        <w:rPr>
          <w:rFonts w:ascii="Arial" w:hAnsi="Arial" w:cs="Arial"/>
          <w:sz w:val="24"/>
          <w:szCs w:val="24"/>
        </w:rPr>
        <w:t xml:space="preserve"> </w:t>
      </w:r>
      <w:r w:rsidRPr="00C76531">
        <w:rPr>
          <w:rFonts w:ascii="Arial" w:hAnsi="Arial" w:cs="Arial"/>
          <w:sz w:val="24"/>
          <w:szCs w:val="24"/>
        </w:rPr>
        <w:t>/</w:t>
      </w:r>
      <w:r w:rsidR="000C3660" w:rsidRPr="00C76531">
        <w:rPr>
          <w:rFonts w:ascii="Arial" w:hAnsi="Arial" w:cs="Arial"/>
          <w:sz w:val="24"/>
          <w:szCs w:val="24"/>
        </w:rPr>
        <w:t xml:space="preserve"> </w:t>
      </w:r>
      <w:r w:rsidRPr="00C76531">
        <w:rPr>
          <w:rFonts w:ascii="Arial" w:hAnsi="Arial" w:cs="Arial"/>
          <w:sz w:val="24"/>
          <w:szCs w:val="24"/>
        </w:rPr>
        <w:t>residential furniture</w:t>
      </w:r>
      <w:r w:rsidR="005E68C1" w:rsidRPr="00C76531">
        <w:rPr>
          <w:rFonts w:ascii="Arial" w:hAnsi="Arial" w:cs="Arial"/>
          <w:sz w:val="24"/>
          <w:szCs w:val="24"/>
        </w:rPr>
        <w:t>,</w:t>
      </w:r>
      <w:r w:rsidRPr="00C76531">
        <w:rPr>
          <w:rFonts w:ascii="Arial" w:hAnsi="Arial" w:cs="Arial"/>
          <w:sz w:val="24"/>
          <w:szCs w:val="24"/>
        </w:rPr>
        <w:t xml:space="preserve"> and educational furniture.</w:t>
      </w:r>
      <w:r w:rsidR="000C3660" w:rsidRPr="00C76531">
        <w:rPr>
          <w:rFonts w:ascii="Arial" w:hAnsi="Arial" w:cs="Arial"/>
          <w:sz w:val="24"/>
          <w:szCs w:val="24"/>
        </w:rPr>
        <w:t xml:space="preserve"> </w:t>
      </w:r>
      <w:r w:rsidRPr="00C76531">
        <w:rPr>
          <w:rFonts w:ascii="Arial" w:hAnsi="Arial" w:cs="Arial"/>
          <w:sz w:val="24"/>
          <w:szCs w:val="24"/>
        </w:rPr>
        <w:t xml:space="preserve">The resources include product criteria, case studies and examples of good practice from Scotland and </w:t>
      </w:r>
      <w:r w:rsidR="00347BAB" w:rsidRPr="00C76531">
        <w:rPr>
          <w:rFonts w:ascii="Arial" w:hAnsi="Arial" w:cs="Arial"/>
          <w:sz w:val="24"/>
          <w:szCs w:val="24"/>
        </w:rPr>
        <w:t>elsewhere</w:t>
      </w:r>
      <w:r w:rsidRPr="00C76531">
        <w:rPr>
          <w:rFonts w:ascii="Arial" w:hAnsi="Arial" w:cs="Arial"/>
          <w:sz w:val="24"/>
          <w:szCs w:val="24"/>
        </w:rPr>
        <w:t>.</w:t>
      </w:r>
    </w:p>
    <w:p w14:paraId="671DEE8F" w14:textId="77777777" w:rsidR="00347BAB" w:rsidRPr="007400CC" w:rsidRDefault="00347BAB" w:rsidP="000C3660">
      <w:pPr>
        <w:spacing w:after="0"/>
        <w:rPr>
          <w:rFonts w:ascii="Arial" w:hAnsi="Arial" w:cs="Arial"/>
          <w:sz w:val="16"/>
          <w:szCs w:val="16"/>
        </w:rPr>
      </w:pPr>
    </w:p>
    <w:p w14:paraId="734CD52F" w14:textId="1933AE76" w:rsidR="006120A2" w:rsidRPr="00C76531" w:rsidRDefault="00B10CF7" w:rsidP="006120A2">
      <w:pPr>
        <w:pStyle w:val="ListParagraph"/>
        <w:ind w:left="36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Scottish Government Procurement Blog</w:t>
      </w:r>
      <w:r w:rsidR="006120A2" w:rsidRPr="00C76531">
        <w:rPr>
          <w:rFonts w:ascii="Arial" w:hAnsi="Arial" w:cs="Arial"/>
          <w:b/>
          <w:bCs/>
          <w:sz w:val="24"/>
          <w:szCs w:val="24"/>
        </w:rPr>
        <w:t>s:</w:t>
      </w:r>
    </w:p>
    <w:p w14:paraId="6EB8B6D6" w14:textId="77777777" w:rsidR="006120A2" w:rsidRPr="007400CC" w:rsidRDefault="006120A2" w:rsidP="006120A2">
      <w:pPr>
        <w:pStyle w:val="ListParagraph"/>
        <w:ind w:left="360"/>
        <w:rPr>
          <w:rFonts w:ascii="Arial" w:hAnsi="Arial" w:cs="Arial"/>
          <w:b/>
          <w:bCs/>
          <w:sz w:val="16"/>
          <w:szCs w:val="16"/>
        </w:rPr>
      </w:pPr>
    </w:p>
    <w:p w14:paraId="41B28079" w14:textId="0087C2B0" w:rsidR="00B10CF7" w:rsidRPr="00C76531" w:rsidRDefault="00B10CF7" w:rsidP="00B10CF7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Supported Businesses an important part of procurement</w:t>
      </w:r>
    </w:p>
    <w:p w14:paraId="3184AB1A" w14:textId="6F0CA3F6" w:rsidR="00B10CF7" w:rsidRPr="007400CC" w:rsidRDefault="00B10CF7" w:rsidP="007400CC">
      <w:pPr>
        <w:pStyle w:val="ListParagraph"/>
        <w:ind w:left="0"/>
        <w:rPr>
          <w:rFonts w:ascii="Arial" w:hAnsi="Arial" w:cs="Arial"/>
        </w:rPr>
      </w:pPr>
      <w:hyperlink r:id="rId8" w:history="1">
        <w:r w:rsidRPr="007400CC">
          <w:rPr>
            <w:rStyle w:val="Hyperlink"/>
            <w:rFonts w:ascii="Arial" w:hAnsi="Arial" w:cs="Arial"/>
          </w:rPr>
          <w:t>https://blogs.gov.scot/public-procurement/2023/03/01/supported-businesses-an-important-part-of-procurement/</w:t>
        </w:r>
      </w:hyperlink>
    </w:p>
    <w:p w14:paraId="52FB044F" w14:textId="77777777" w:rsidR="00B10CF7" w:rsidRPr="007400CC" w:rsidRDefault="00B10CF7" w:rsidP="00B10CF7">
      <w:pPr>
        <w:pStyle w:val="ListParagraph"/>
        <w:ind w:left="360"/>
        <w:rPr>
          <w:rFonts w:ascii="Arial" w:hAnsi="Arial" w:cs="Arial"/>
          <w:sz w:val="16"/>
          <w:szCs w:val="16"/>
        </w:rPr>
      </w:pPr>
    </w:p>
    <w:p w14:paraId="797B6C7B" w14:textId="25AB57B8" w:rsidR="00B10CF7" w:rsidRPr="00C76531" w:rsidRDefault="00B10CF7" w:rsidP="000C3660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Sustainable Procurement Duty – the circular economy case study</w:t>
      </w:r>
    </w:p>
    <w:p w14:paraId="5FE305F3" w14:textId="4AEE68EC" w:rsidR="0017582B" w:rsidRDefault="0017582B" w:rsidP="00D91780">
      <w:pPr>
        <w:spacing w:after="0"/>
        <w:rPr>
          <w:rStyle w:val="Hyperlink"/>
          <w:rFonts w:ascii="Arial" w:hAnsi="Arial" w:cs="Arial"/>
        </w:rPr>
      </w:pPr>
      <w:hyperlink r:id="rId9" w:history="1">
        <w:r w:rsidRPr="007400CC">
          <w:rPr>
            <w:rStyle w:val="Hyperlink"/>
            <w:rFonts w:ascii="Arial" w:hAnsi="Arial" w:cs="Arial"/>
          </w:rPr>
          <w:t>https://blogs.gov.scot/public-procurement/2019/12/02/sustainable-procurement-duty-the-circular-economy-case-study/</w:t>
        </w:r>
      </w:hyperlink>
    </w:p>
    <w:p w14:paraId="373C0066" w14:textId="77777777" w:rsidR="00D91780" w:rsidRPr="00D91780" w:rsidRDefault="00D91780" w:rsidP="00D91780">
      <w:pPr>
        <w:spacing w:after="0"/>
        <w:rPr>
          <w:rFonts w:ascii="Arial" w:hAnsi="Arial" w:cs="Arial"/>
          <w:sz w:val="16"/>
          <w:szCs w:val="16"/>
        </w:rPr>
      </w:pPr>
    </w:p>
    <w:p w14:paraId="6EBC2681" w14:textId="2C3E1EF1" w:rsidR="0017582B" w:rsidRPr="007400CC" w:rsidRDefault="006D4469" w:rsidP="007400CC">
      <w:pPr>
        <w:spacing w:after="0"/>
        <w:rPr>
          <w:rFonts w:ascii="Arial" w:hAnsi="Arial" w:cs="Arial"/>
          <w:sz w:val="24"/>
          <w:szCs w:val="24"/>
        </w:rPr>
      </w:pPr>
      <w:r w:rsidRPr="007400CC">
        <w:rPr>
          <w:rFonts w:ascii="Arial" w:hAnsi="Arial" w:cs="Arial"/>
          <w:sz w:val="24"/>
          <w:szCs w:val="24"/>
        </w:rPr>
        <w:t>“</w:t>
      </w:r>
      <w:r w:rsidR="0017582B" w:rsidRPr="007400CC">
        <w:rPr>
          <w:rFonts w:ascii="Arial" w:hAnsi="Arial" w:cs="Arial"/>
          <w:sz w:val="24"/>
          <w:szCs w:val="24"/>
        </w:rPr>
        <w:t xml:space="preserve">This case study, on </w:t>
      </w:r>
      <w:hyperlink r:id="rId10" w:history="1">
        <w:r w:rsidR="0017582B" w:rsidRPr="007400CC">
          <w:rPr>
            <w:rStyle w:val="Hyperlink"/>
            <w:rFonts w:ascii="Arial" w:hAnsi="Arial" w:cs="Arial"/>
            <w:sz w:val="24"/>
            <w:szCs w:val="24"/>
          </w:rPr>
          <w:t>Scotland Excel’s</w:t>
        </w:r>
      </w:hyperlink>
      <w:r w:rsidR="0017582B" w:rsidRPr="007400CC">
        <w:rPr>
          <w:rFonts w:ascii="Arial" w:hAnsi="Arial" w:cs="Arial"/>
          <w:sz w:val="24"/>
          <w:szCs w:val="24"/>
        </w:rPr>
        <w:t xml:space="preserve"> Furniture framework, shows how working with the re-use sector, buyers can change behaviours and make a positive impact on both the environment and society.”</w:t>
      </w:r>
    </w:p>
    <w:p w14:paraId="6635CD6E" w14:textId="77777777" w:rsidR="00A71214" w:rsidRPr="007400CC" w:rsidRDefault="00A71214" w:rsidP="00A71214">
      <w:pPr>
        <w:spacing w:after="0"/>
        <w:ind w:left="360"/>
        <w:rPr>
          <w:rFonts w:ascii="Arial" w:hAnsi="Arial" w:cs="Arial"/>
          <w:sz w:val="16"/>
          <w:szCs w:val="16"/>
        </w:rPr>
      </w:pPr>
    </w:p>
    <w:p w14:paraId="1F41AA3D" w14:textId="37264BC4" w:rsidR="004D277A" w:rsidRPr="00C76531" w:rsidRDefault="004F0BE4" w:rsidP="000C3660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Scotland Excel</w:t>
      </w:r>
      <w:r w:rsidR="00347BAB" w:rsidRPr="00C76531">
        <w:rPr>
          <w:rFonts w:ascii="Arial" w:hAnsi="Arial" w:cs="Arial"/>
          <w:b/>
          <w:bCs/>
          <w:sz w:val="24"/>
          <w:szCs w:val="24"/>
        </w:rPr>
        <w:t xml:space="preserve"> case study</w:t>
      </w:r>
      <w:r w:rsidR="00C37A37" w:rsidRPr="00C76531">
        <w:rPr>
          <w:rFonts w:ascii="Arial" w:hAnsi="Arial" w:cs="Arial"/>
          <w:b/>
          <w:bCs/>
          <w:sz w:val="24"/>
          <w:szCs w:val="24"/>
        </w:rPr>
        <w:t xml:space="preserve"> - Domestic furniture and furnishings</w:t>
      </w:r>
    </w:p>
    <w:p w14:paraId="2FB1F0CC" w14:textId="532000AB" w:rsidR="00347BAB" w:rsidRPr="007400CC" w:rsidRDefault="00C37A37" w:rsidP="007400CC">
      <w:pPr>
        <w:spacing w:after="0" w:line="257" w:lineRule="auto"/>
        <w:rPr>
          <w:rFonts w:ascii="Arial" w:hAnsi="Arial" w:cs="Arial"/>
        </w:rPr>
      </w:pPr>
      <w:hyperlink r:id="rId11" w:history="1">
        <w:r w:rsidRPr="007400CC">
          <w:rPr>
            <w:rStyle w:val="Hyperlink"/>
            <w:rFonts w:ascii="Arial" w:hAnsi="Arial" w:cs="Arial"/>
          </w:rPr>
          <w:t>https://home.scotland-excel.org.uk/newsroom/case-studies/one-stop-shop-for-domestic-furniture-and-furnishings-is-helping-scotland-s-communities/</w:t>
        </w:r>
      </w:hyperlink>
    </w:p>
    <w:p w14:paraId="0A68EA83" w14:textId="77777777" w:rsidR="00C37A37" w:rsidRPr="007400CC" w:rsidRDefault="00C37A37" w:rsidP="00B10CF7">
      <w:pPr>
        <w:spacing w:after="0" w:line="257" w:lineRule="auto"/>
        <w:ind w:left="360"/>
        <w:rPr>
          <w:rFonts w:ascii="Arial" w:eastAsia="Verdana" w:hAnsi="Arial" w:cs="Arial"/>
          <w:sz w:val="16"/>
          <w:szCs w:val="16"/>
        </w:rPr>
      </w:pPr>
    </w:p>
    <w:p w14:paraId="61A4D165" w14:textId="0EED5E1F" w:rsidR="00347BAB" w:rsidRPr="007400CC" w:rsidRDefault="004F0BE4" w:rsidP="000C3660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7400CC">
        <w:rPr>
          <w:rFonts w:ascii="Arial" w:hAnsi="Arial" w:cs="Arial"/>
          <w:b/>
          <w:bCs/>
          <w:sz w:val="24"/>
          <w:szCs w:val="24"/>
        </w:rPr>
        <w:t xml:space="preserve">Zero Waste Scotland </w:t>
      </w:r>
      <w:r w:rsidR="00347BAB" w:rsidRPr="007400CC">
        <w:rPr>
          <w:rFonts w:ascii="Arial" w:eastAsia="Verdana" w:hAnsi="Arial" w:cs="Arial"/>
          <w:b/>
          <w:bCs/>
          <w:sz w:val="24"/>
          <w:szCs w:val="24"/>
        </w:rPr>
        <w:t>report - “Procuring for: Repair, Re-use and Remanufacturing- Category and Commodity Guidance” available at:</w:t>
      </w:r>
      <w:r w:rsidR="00347BAB" w:rsidRPr="007400CC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6370CF56" w14:textId="657735A7" w:rsidR="00347BAB" w:rsidRPr="007400CC" w:rsidRDefault="007400CC" w:rsidP="007400CC">
      <w:pPr>
        <w:pStyle w:val="ListParagraph"/>
        <w:ind w:left="0"/>
        <w:rPr>
          <w:rFonts w:ascii="Arial" w:hAnsi="Arial" w:cs="Arial"/>
        </w:rPr>
      </w:pPr>
      <w:hyperlink r:id="rId12" w:history="1">
        <w:r w:rsidRPr="007400CC">
          <w:rPr>
            <w:rStyle w:val="Hyperlink"/>
            <w:rFonts w:ascii="Arial" w:hAnsi="Arial" w:cs="Arial"/>
          </w:rPr>
          <w:t>https://www.zerowastescotland.org.uk/resources/circular-procurement</w:t>
        </w:r>
      </w:hyperlink>
    </w:p>
    <w:p w14:paraId="667E6297" w14:textId="77777777" w:rsidR="007400CC" w:rsidRPr="007400CC" w:rsidRDefault="007400CC" w:rsidP="00347BAB">
      <w:pPr>
        <w:pStyle w:val="ListParagraph"/>
        <w:ind w:left="360"/>
        <w:rPr>
          <w:rFonts w:ascii="Arial" w:hAnsi="Arial" w:cs="Arial"/>
          <w:b/>
          <w:bCs/>
          <w:sz w:val="16"/>
          <w:szCs w:val="16"/>
        </w:rPr>
      </w:pPr>
    </w:p>
    <w:p w14:paraId="72E40149" w14:textId="2F8E8CD9" w:rsidR="00A14D46" w:rsidRPr="00C76531" w:rsidRDefault="00A14D46" w:rsidP="00152B85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Zero Waste Scotland – Find circular office suppliers for Scotland</w:t>
      </w:r>
    </w:p>
    <w:p w14:paraId="0ABE1BBB" w14:textId="62C9EB25" w:rsidR="00A14D46" w:rsidRPr="007400CC" w:rsidRDefault="00A14D46" w:rsidP="007400CC">
      <w:pPr>
        <w:pStyle w:val="ListParagraph"/>
        <w:ind w:left="0"/>
        <w:rPr>
          <w:rFonts w:ascii="Arial" w:hAnsi="Arial" w:cs="Arial"/>
        </w:rPr>
      </w:pPr>
      <w:hyperlink r:id="rId13" w:history="1">
        <w:r w:rsidRPr="007400CC">
          <w:rPr>
            <w:rStyle w:val="Hyperlink"/>
            <w:rFonts w:ascii="Arial" w:hAnsi="Arial" w:cs="Arial"/>
          </w:rPr>
          <w:t>https://procirc.zerowastescotland.org.uk/</w:t>
        </w:r>
      </w:hyperlink>
    </w:p>
    <w:p w14:paraId="4836EFA6" w14:textId="77777777" w:rsidR="00A14D46" w:rsidRPr="007400CC" w:rsidRDefault="00A14D46" w:rsidP="00A14D46">
      <w:pPr>
        <w:pStyle w:val="ListParagraph"/>
        <w:ind w:left="360"/>
        <w:rPr>
          <w:rFonts w:ascii="Arial" w:hAnsi="Arial" w:cs="Arial"/>
          <w:b/>
          <w:bCs/>
          <w:sz w:val="16"/>
          <w:szCs w:val="16"/>
        </w:rPr>
      </w:pPr>
    </w:p>
    <w:p w14:paraId="7238D2FD" w14:textId="301246E8" w:rsidR="00152B85" w:rsidRPr="00C76531" w:rsidRDefault="00152B85" w:rsidP="000C3660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UK Government Buying Standards – Furniture</w:t>
      </w:r>
    </w:p>
    <w:p w14:paraId="09032A13" w14:textId="0F21CCB6" w:rsidR="00152B85" w:rsidRPr="007400CC" w:rsidRDefault="00B10CF7" w:rsidP="007400CC">
      <w:pPr>
        <w:spacing w:after="0"/>
        <w:rPr>
          <w:rStyle w:val="Hyperlink"/>
          <w:rFonts w:ascii="Arial" w:hAnsi="Arial" w:cs="Arial"/>
        </w:rPr>
      </w:pPr>
      <w:hyperlink r:id="rId14" w:history="1">
        <w:r w:rsidRPr="007400CC">
          <w:rPr>
            <w:rStyle w:val="Hyperlink"/>
            <w:rFonts w:ascii="Arial" w:hAnsi="Arial" w:cs="Arial"/>
          </w:rPr>
          <w:t>https://www.gov.uk/government/publications/sustainable-procurement-the-gbs-for-furniture</w:t>
        </w:r>
      </w:hyperlink>
    </w:p>
    <w:p w14:paraId="731730CE" w14:textId="77777777" w:rsidR="003D3A05" w:rsidRPr="007400CC" w:rsidRDefault="003D3A05" w:rsidP="000C3660">
      <w:pPr>
        <w:spacing w:after="0"/>
        <w:rPr>
          <w:rStyle w:val="Hyperlink"/>
          <w:rFonts w:ascii="Arial" w:hAnsi="Arial" w:cs="Arial"/>
          <w:color w:val="auto"/>
          <w:sz w:val="16"/>
          <w:szCs w:val="16"/>
        </w:rPr>
      </w:pPr>
    </w:p>
    <w:p w14:paraId="009C532B" w14:textId="3F215AE8" w:rsidR="00152B85" w:rsidRPr="00C76531" w:rsidRDefault="00152B85" w:rsidP="000C3660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EU GPP Criteria for furniture</w:t>
      </w:r>
    </w:p>
    <w:p w14:paraId="082F56E4" w14:textId="140127E7" w:rsidR="00152B85" w:rsidRPr="007400CC" w:rsidRDefault="00B10CF7" w:rsidP="007400CC">
      <w:pPr>
        <w:spacing w:after="0"/>
        <w:rPr>
          <w:rStyle w:val="Hyperlink"/>
          <w:rFonts w:ascii="Arial" w:hAnsi="Arial" w:cs="Arial"/>
        </w:rPr>
      </w:pPr>
      <w:hyperlink r:id="rId15" w:history="1">
        <w:r w:rsidRPr="007400CC">
          <w:rPr>
            <w:rStyle w:val="Hyperlink"/>
            <w:rFonts w:ascii="Arial" w:hAnsi="Arial" w:cs="Arial"/>
          </w:rPr>
          <w:t>https://ec.europa.eu/environment/gpp/eu_gpp_criteria_en.htm</w:t>
        </w:r>
      </w:hyperlink>
    </w:p>
    <w:p w14:paraId="39B0582C" w14:textId="77777777" w:rsidR="005E68C1" w:rsidRPr="007400CC" w:rsidRDefault="005E68C1" w:rsidP="005E68C1">
      <w:pPr>
        <w:spacing w:after="0" w:line="257" w:lineRule="auto"/>
        <w:textAlignment w:val="baseline"/>
        <w:rPr>
          <w:rFonts w:ascii="Arial" w:eastAsia="Verdana" w:hAnsi="Arial" w:cs="Arial"/>
          <w:color w:val="000000" w:themeColor="text1"/>
          <w:sz w:val="16"/>
          <w:szCs w:val="16"/>
        </w:rPr>
      </w:pPr>
    </w:p>
    <w:p w14:paraId="1B251A22" w14:textId="344E5765" w:rsidR="00152B85" w:rsidRPr="00C76531" w:rsidRDefault="00152B85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Revision of the EU Green Public Procurement (GPP) criteria for Furniture – Technical Report</w:t>
      </w:r>
      <w:r w:rsidR="005E68C1" w:rsidRPr="00C76531">
        <w:rPr>
          <w:rFonts w:ascii="Arial" w:hAnsi="Arial" w:cs="Arial"/>
          <w:b/>
          <w:bCs/>
          <w:sz w:val="24"/>
          <w:szCs w:val="24"/>
        </w:rPr>
        <w:t xml:space="preserve"> for </w:t>
      </w:r>
      <w:r w:rsidRPr="00C76531">
        <w:rPr>
          <w:rFonts w:ascii="Arial" w:hAnsi="Arial" w:cs="Arial"/>
          <w:b/>
          <w:bCs/>
          <w:sz w:val="24"/>
          <w:szCs w:val="24"/>
        </w:rPr>
        <w:t>European Commission. (2017).</w:t>
      </w:r>
    </w:p>
    <w:p w14:paraId="3522D14C" w14:textId="394DEFD3" w:rsidR="00C76531" w:rsidRPr="007400CC" w:rsidRDefault="00C76531" w:rsidP="007400CC">
      <w:pPr>
        <w:spacing w:after="0"/>
        <w:rPr>
          <w:rStyle w:val="Hyperlink"/>
          <w:rFonts w:ascii="Arial" w:hAnsi="Arial" w:cs="Arial"/>
        </w:rPr>
      </w:pPr>
      <w:hyperlink r:id="rId16" w:history="1">
        <w:r w:rsidRPr="007400CC">
          <w:rPr>
            <w:rStyle w:val="Hyperlink"/>
            <w:rFonts w:ascii="Arial" w:hAnsi="Arial" w:cs="Arial"/>
          </w:rPr>
          <w:t>https://circabc.europa.eu/ui/group/44278090-3fae-4515-bcc2-44fd57c1d0d1/library/004415d4-4bb0-4b74-8f3c-8e7bb220cea3/details</w:t>
        </w:r>
      </w:hyperlink>
    </w:p>
    <w:p w14:paraId="72B37DEF" w14:textId="77777777" w:rsidR="00C76531" w:rsidRPr="007400CC" w:rsidRDefault="00C76531" w:rsidP="00A71214">
      <w:pPr>
        <w:spacing w:after="0"/>
        <w:rPr>
          <w:rStyle w:val="Hyperlink"/>
          <w:rFonts w:ascii="Arial" w:hAnsi="Arial" w:cs="Arial"/>
          <w:sz w:val="16"/>
          <w:szCs w:val="16"/>
        </w:rPr>
      </w:pPr>
    </w:p>
    <w:p w14:paraId="2C5CEA90" w14:textId="77777777" w:rsidR="000C6F01" w:rsidRPr="00C76531" w:rsidRDefault="00216B5D" w:rsidP="000C6F0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400CC">
        <w:rPr>
          <w:rFonts w:ascii="Arial" w:hAnsi="Arial" w:cs="Arial"/>
          <w:b/>
          <w:bCs/>
          <w:sz w:val="24"/>
          <w:szCs w:val="24"/>
        </w:rPr>
        <w:t>Pioneering the circular procurement of furniture: Interreg VB North Sea</w:t>
      </w:r>
      <w:r w:rsidRPr="00C76531">
        <w:rPr>
          <w:rFonts w:ascii="Arial" w:hAnsi="Arial" w:cs="Arial"/>
          <w:b/>
          <w:bCs/>
          <w:sz w:val="24"/>
          <w:szCs w:val="24"/>
        </w:rPr>
        <w:t xml:space="preserve"> Region Programme: </w:t>
      </w:r>
    </w:p>
    <w:p w14:paraId="010CA429" w14:textId="79F44DE3" w:rsidR="000C6F01" w:rsidRPr="007400CC" w:rsidRDefault="000C6F01" w:rsidP="007400CC">
      <w:pPr>
        <w:pStyle w:val="ListParagraph"/>
        <w:ind w:left="0"/>
        <w:rPr>
          <w:rFonts w:ascii="Arial" w:hAnsi="Arial" w:cs="Arial"/>
        </w:rPr>
      </w:pPr>
      <w:hyperlink r:id="rId17" w:history="1">
        <w:r w:rsidRPr="007400CC">
          <w:rPr>
            <w:rStyle w:val="Hyperlink"/>
            <w:rFonts w:ascii="Arial" w:hAnsi="Arial" w:cs="Arial"/>
          </w:rPr>
          <w:t>https://northsearegion.eu/procirc/news/pioneering-the-circular-procurement-of-furniture/</w:t>
        </w:r>
      </w:hyperlink>
    </w:p>
    <w:p w14:paraId="1EA704A7" w14:textId="0B8605E3" w:rsidR="000C6F01" w:rsidRPr="00C76531" w:rsidRDefault="000C6F01" w:rsidP="007400CC">
      <w:pPr>
        <w:pStyle w:val="ListParagraph"/>
        <w:ind w:left="0"/>
        <w:rPr>
          <w:rFonts w:ascii="Arial" w:hAnsi="Arial" w:cs="Arial"/>
          <w:sz w:val="24"/>
          <w:szCs w:val="24"/>
        </w:rPr>
      </w:pPr>
      <w:r w:rsidRPr="00C76531">
        <w:rPr>
          <w:rFonts w:ascii="Arial" w:hAnsi="Arial" w:cs="Arial"/>
          <w:sz w:val="24"/>
          <w:szCs w:val="24"/>
        </w:rPr>
        <w:t>Includes information on pilots carried out in Norway, The Netherlands and Flanders.</w:t>
      </w:r>
    </w:p>
    <w:p w14:paraId="7AC5F833" w14:textId="77777777" w:rsidR="00216B5D" w:rsidRPr="007400CC" w:rsidRDefault="00216B5D" w:rsidP="00216B5D">
      <w:pPr>
        <w:pStyle w:val="ListParagraph"/>
        <w:ind w:left="360"/>
        <w:rPr>
          <w:rFonts w:ascii="Arial" w:hAnsi="Arial" w:cs="Arial"/>
          <w:b/>
          <w:bCs/>
          <w:sz w:val="16"/>
          <w:szCs w:val="16"/>
        </w:rPr>
      </w:pPr>
    </w:p>
    <w:p w14:paraId="232C928C" w14:textId="59CA73C1" w:rsidR="003D3A05" w:rsidRPr="00C76531" w:rsidRDefault="003D3A05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WRAP Cymru Case Study</w:t>
      </w:r>
      <w:r w:rsidRPr="00C76531">
        <w:rPr>
          <w:rFonts w:ascii="Arial" w:hAnsi="Arial" w:cs="Arial"/>
          <w:sz w:val="24"/>
          <w:szCs w:val="24"/>
        </w:rPr>
        <w:t xml:space="preserve">: </w:t>
      </w:r>
      <w:r w:rsidRPr="00C76531">
        <w:rPr>
          <w:rFonts w:ascii="Arial" w:hAnsi="Arial" w:cs="Arial"/>
          <w:b/>
          <w:bCs/>
          <w:sz w:val="24"/>
          <w:szCs w:val="24"/>
        </w:rPr>
        <w:t xml:space="preserve">Procurement of ‘second life’ furniture for the </w:t>
      </w:r>
      <w:proofErr w:type="spellStart"/>
      <w:r w:rsidRPr="00C76531">
        <w:rPr>
          <w:rFonts w:ascii="Arial" w:hAnsi="Arial" w:cs="Arial"/>
          <w:b/>
          <w:bCs/>
          <w:sz w:val="24"/>
          <w:szCs w:val="24"/>
        </w:rPr>
        <w:t>WLGA</w:t>
      </w:r>
      <w:proofErr w:type="spellEnd"/>
      <w:r w:rsidRPr="00C76531">
        <w:rPr>
          <w:rFonts w:ascii="Arial" w:hAnsi="Arial" w:cs="Arial"/>
          <w:b/>
          <w:bCs/>
          <w:sz w:val="24"/>
          <w:szCs w:val="24"/>
        </w:rPr>
        <w:t xml:space="preserve"> and </w:t>
      </w:r>
      <w:proofErr w:type="spellStart"/>
      <w:r w:rsidRPr="00C76531">
        <w:rPr>
          <w:rFonts w:ascii="Arial" w:hAnsi="Arial" w:cs="Arial"/>
          <w:b/>
          <w:bCs/>
          <w:sz w:val="24"/>
          <w:szCs w:val="24"/>
        </w:rPr>
        <w:t>WCVA</w:t>
      </w:r>
      <w:proofErr w:type="spellEnd"/>
    </w:p>
    <w:p w14:paraId="7FFEDAE0" w14:textId="0BAA17FD" w:rsidR="003D3A05" w:rsidRPr="007400CC" w:rsidRDefault="000C6F01" w:rsidP="007400CC">
      <w:pPr>
        <w:spacing w:after="0"/>
        <w:rPr>
          <w:rStyle w:val="Hyperlink"/>
          <w:rFonts w:ascii="Arial" w:hAnsi="Arial" w:cs="Arial"/>
        </w:rPr>
      </w:pPr>
      <w:hyperlink r:id="rId18" w:history="1">
        <w:r w:rsidRPr="007400CC">
          <w:rPr>
            <w:rStyle w:val="Hyperlink"/>
            <w:rFonts w:ascii="Arial" w:hAnsi="Arial" w:cs="Arial"/>
          </w:rPr>
          <w:t>https://wrapcymru.org.uk/sites/default/files/2022-09/Case%20Study%20WCVA%20%28002%29%20FINAL.pdf</w:t>
        </w:r>
      </w:hyperlink>
    </w:p>
    <w:p w14:paraId="1766F757" w14:textId="77777777" w:rsidR="00A71214" w:rsidRPr="007400CC" w:rsidRDefault="00A71214" w:rsidP="00A71214">
      <w:pPr>
        <w:spacing w:after="0"/>
        <w:ind w:left="360"/>
        <w:rPr>
          <w:rFonts w:ascii="Arial" w:hAnsi="Arial" w:cs="Arial"/>
          <w:sz w:val="16"/>
          <w:szCs w:val="16"/>
        </w:rPr>
      </w:pPr>
    </w:p>
    <w:p w14:paraId="0C2307EE" w14:textId="28FE43F8" w:rsidR="0040582D" w:rsidRPr="00C76531" w:rsidRDefault="0040582D" w:rsidP="0040582D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Business in the Community: The Circular Office Guide</w:t>
      </w:r>
    </w:p>
    <w:p w14:paraId="0AAA8008" w14:textId="36F3EE69" w:rsidR="0040582D" w:rsidRPr="007400CC" w:rsidRDefault="0040582D" w:rsidP="007400CC">
      <w:pPr>
        <w:pStyle w:val="ListParagraph"/>
        <w:ind w:left="0"/>
        <w:rPr>
          <w:rFonts w:ascii="Arial" w:hAnsi="Arial" w:cs="Arial"/>
        </w:rPr>
      </w:pPr>
      <w:hyperlink r:id="rId19" w:history="1">
        <w:r w:rsidRPr="007400CC">
          <w:rPr>
            <w:rStyle w:val="Hyperlink"/>
            <w:rFonts w:ascii="Arial" w:hAnsi="Arial" w:cs="Arial"/>
          </w:rPr>
          <w:t>https://www.bitc.org.uk/report/the-circular-office-guide/</w:t>
        </w:r>
      </w:hyperlink>
    </w:p>
    <w:p w14:paraId="6FDEEEDC" w14:textId="77777777" w:rsidR="0040582D" w:rsidRPr="007400CC" w:rsidRDefault="0040582D" w:rsidP="0040582D">
      <w:pPr>
        <w:pStyle w:val="ListParagraph"/>
        <w:ind w:left="360"/>
        <w:rPr>
          <w:rFonts w:ascii="Arial" w:hAnsi="Arial" w:cs="Arial"/>
          <w:b/>
          <w:bCs/>
          <w:sz w:val="16"/>
          <w:szCs w:val="16"/>
        </w:rPr>
      </w:pPr>
    </w:p>
    <w:p w14:paraId="19F3501D" w14:textId="01C2CB4F" w:rsidR="00152B85" w:rsidRPr="00C76531" w:rsidRDefault="00152B85" w:rsidP="00152B85">
      <w:pPr>
        <w:pStyle w:val="ListParagraph"/>
        <w:numPr>
          <w:ilvl w:val="0"/>
          <w:numId w:val="1"/>
        </w:numPr>
        <w:spacing w:after="0" w:line="257" w:lineRule="auto"/>
        <w:textAlignment w:val="baseline"/>
        <w:rPr>
          <w:rFonts w:ascii="Arial" w:eastAsia="Verdana" w:hAnsi="Arial" w:cs="Arial"/>
          <w:b/>
          <w:bCs/>
          <w:color w:val="000000" w:themeColor="text1"/>
          <w:sz w:val="24"/>
          <w:szCs w:val="24"/>
        </w:rPr>
      </w:pPr>
      <w:r w:rsidRPr="00C76531">
        <w:rPr>
          <w:rFonts w:ascii="Arial" w:eastAsia="Verdana" w:hAnsi="Arial" w:cs="Arial"/>
          <w:b/>
          <w:bCs/>
          <w:color w:val="000000" w:themeColor="text1"/>
          <w:sz w:val="24"/>
          <w:szCs w:val="24"/>
        </w:rPr>
        <w:t>The Crown Estates’ Sustainability Fit-Out Guide for Offices</w:t>
      </w:r>
    </w:p>
    <w:p w14:paraId="299C36B6" w14:textId="77777777" w:rsidR="00152B85" w:rsidRPr="007400CC" w:rsidRDefault="00152B85" w:rsidP="007400CC">
      <w:pPr>
        <w:rPr>
          <w:rFonts w:ascii="Arial" w:eastAsia="Verdana" w:hAnsi="Arial" w:cs="Arial"/>
        </w:rPr>
      </w:pPr>
      <w:hyperlink r:id="rId20">
        <w:r w:rsidRPr="007400CC">
          <w:rPr>
            <w:rStyle w:val="Hyperlink"/>
            <w:rFonts w:ascii="Arial" w:eastAsia="Verdana" w:hAnsi="Arial" w:cs="Arial"/>
          </w:rPr>
          <w:t>https://www.thecrownestate.co.uk/media/1748/sustainability-fit-out-guide-offices.pdf</w:t>
        </w:r>
      </w:hyperlink>
    </w:p>
    <w:p w14:paraId="68EBBB42" w14:textId="0561CC32" w:rsidR="00152B85" w:rsidRPr="00C76531" w:rsidRDefault="00152B85" w:rsidP="00B10CF7">
      <w:pPr>
        <w:spacing w:after="0" w:line="257" w:lineRule="auto"/>
        <w:ind w:left="360"/>
        <w:textAlignment w:val="baseline"/>
        <w:rPr>
          <w:rFonts w:ascii="Arial" w:eastAsia="Verdana" w:hAnsi="Arial" w:cs="Arial"/>
          <w:sz w:val="24"/>
          <w:szCs w:val="24"/>
        </w:rPr>
      </w:pPr>
      <w:r w:rsidRPr="00C76531">
        <w:rPr>
          <w:rFonts w:ascii="Arial" w:eastAsia="Verdana" w:hAnsi="Arial" w:cs="Arial"/>
          <w:sz w:val="24"/>
          <w:szCs w:val="24"/>
        </w:rPr>
        <w:t>“….interior fit-out is responsible for 40% of energy in a building…. Furthermore, furniture from natural resources contributes to 30% of the carbon footprint of a commercial building over its entire life.”</w:t>
      </w:r>
    </w:p>
    <w:p w14:paraId="13E33F1B" w14:textId="77777777" w:rsidR="00152B85" w:rsidRPr="007400CC" w:rsidRDefault="00152B85" w:rsidP="00152B85">
      <w:pPr>
        <w:spacing w:after="0" w:line="257" w:lineRule="auto"/>
        <w:textAlignment w:val="baseline"/>
        <w:rPr>
          <w:rFonts w:ascii="Arial" w:eastAsia="Verdana" w:hAnsi="Arial" w:cs="Arial"/>
          <w:color w:val="000000" w:themeColor="text1"/>
          <w:sz w:val="16"/>
          <w:szCs w:val="16"/>
        </w:rPr>
      </w:pPr>
    </w:p>
    <w:p w14:paraId="40EAAC44" w14:textId="1750ABD8" w:rsidR="00C83D20" w:rsidRPr="00C76531" w:rsidRDefault="00C83D20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Circular Economy Opportunities in the Furniture Sector – Eunomia for European Environmental Bureau. (2017).</w:t>
      </w:r>
    </w:p>
    <w:p w14:paraId="05DF868C" w14:textId="39DCFB35" w:rsidR="00C83D20" w:rsidRPr="007400CC" w:rsidRDefault="00C83D20" w:rsidP="007400CC">
      <w:pPr>
        <w:spacing w:after="0"/>
        <w:rPr>
          <w:rStyle w:val="Hyperlink"/>
          <w:rFonts w:ascii="Arial" w:hAnsi="Arial" w:cs="Arial"/>
        </w:rPr>
      </w:pPr>
      <w:hyperlink r:id="rId21" w:tgtFrame="_blank" w:history="1">
        <w:r w:rsidRPr="007400CC">
          <w:rPr>
            <w:rStyle w:val="Hyperlink"/>
            <w:rFonts w:ascii="Arial" w:hAnsi="Arial" w:cs="Arial"/>
          </w:rPr>
          <w:t>https://eeb.org/wp-content/uploads/2019/05/Report-on-the-Circular-Economy-in-the-Furniture-Sector.pdf</w:t>
        </w:r>
      </w:hyperlink>
    </w:p>
    <w:p w14:paraId="6D9DF1C6" w14:textId="77777777" w:rsidR="00A71214" w:rsidRPr="007400CC" w:rsidRDefault="00A71214" w:rsidP="00A71214">
      <w:pPr>
        <w:spacing w:after="0"/>
        <w:ind w:left="360"/>
        <w:rPr>
          <w:rFonts w:ascii="Arial" w:hAnsi="Arial" w:cs="Arial"/>
          <w:sz w:val="16"/>
          <w:szCs w:val="16"/>
        </w:rPr>
      </w:pPr>
    </w:p>
    <w:p w14:paraId="53E28A1D" w14:textId="77A59FCB" w:rsidR="00D9097B" w:rsidRPr="00C76531" w:rsidRDefault="00D61152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Royal Institution of Chartered Surveyors (RICS)</w:t>
      </w:r>
    </w:p>
    <w:p w14:paraId="27F036F8" w14:textId="7957CB6B" w:rsidR="002967D4" w:rsidRPr="00C76531" w:rsidRDefault="002967D4" w:rsidP="00A71214">
      <w:pPr>
        <w:spacing w:after="0"/>
        <w:ind w:left="360"/>
        <w:rPr>
          <w:rFonts w:ascii="Arial" w:hAnsi="Arial" w:cs="Arial"/>
          <w:sz w:val="24"/>
          <w:szCs w:val="24"/>
        </w:rPr>
      </w:pPr>
      <w:r w:rsidRPr="00C76531">
        <w:rPr>
          <w:rFonts w:ascii="Arial" w:eastAsia="Roboto" w:hAnsi="Arial" w:cs="Arial"/>
          <w:sz w:val="24"/>
          <w:szCs w:val="24"/>
        </w:rPr>
        <w:t>Suppliers can demonstrate that their products comply with the requirements of relevant materials and waste measures included in the SKA Rating for Higher Education</w:t>
      </w:r>
    </w:p>
    <w:p w14:paraId="2483A576" w14:textId="6995FE7F" w:rsidR="00D61152" w:rsidRPr="007400CC" w:rsidRDefault="009971BC" w:rsidP="007400CC">
      <w:pPr>
        <w:spacing w:after="0"/>
        <w:rPr>
          <w:rStyle w:val="Hyperlink"/>
          <w:rFonts w:ascii="Arial" w:hAnsi="Arial" w:cs="Arial"/>
        </w:rPr>
      </w:pPr>
      <w:hyperlink r:id="rId22" w:history="1">
        <w:r>
          <w:rPr>
            <w:rStyle w:val="Hyperlink"/>
            <w:rFonts w:ascii="Arial" w:hAnsi="Arial" w:cs="Arial"/>
          </w:rPr>
          <w:t>https://www.rics.org/about-rics/responsible-business/ska-rating</w:t>
        </w:r>
      </w:hyperlink>
    </w:p>
    <w:p w14:paraId="61308505" w14:textId="77777777" w:rsidR="00A71214" w:rsidRPr="007400CC" w:rsidRDefault="00A71214" w:rsidP="00A71214">
      <w:pPr>
        <w:spacing w:after="0"/>
        <w:ind w:left="360"/>
        <w:rPr>
          <w:rFonts w:ascii="Arial" w:hAnsi="Arial" w:cs="Arial"/>
          <w:sz w:val="16"/>
          <w:szCs w:val="16"/>
        </w:rPr>
      </w:pPr>
    </w:p>
    <w:p w14:paraId="3F84A9B2" w14:textId="4226D75A" w:rsidR="002967D4" w:rsidRPr="00C76531" w:rsidRDefault="002967D4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Business and International Furniture Manufacturers Association (</w:t>
      </w:r>
      <w:proofErr w:type="spellStart"/>
      <w:r w:rsidRPr="00C76531">
        <w:rPr>
          <w:rFonts w:ascii="Arial" w:hAnsi="Arial" w:cs="Arial"/>
          <w:b/>
          <w:bCs/>
          <w:sz w:val="24"/>
          <w:szCs w:val="24"/>
        </w:rPr>
        <w:t>BIFMA</w:t>
      </w:r>
      <w:proofErr w:type="spellEnd"/>
      <w:r w:rsidRPr="00C76531">
        <w:rPr>
          <w:rFonts w:ascii="Arial" w:hAnsi="Arial" w:cs="Arial"/>
          <w:b/>
          <w:bCs/>
          <w:sz w:val="24"/>
          <w:szCs w:val="24"/>
        </w:rPr>
        <w:t>)</w:t>
      </w:r>
    </w:p>
    <w:p w14:paraId="75C1B6DE" w14:textId="17220FF0" w:rsidR="002967D4" w:rsidRDefault="002967D4" w:rsidP="00A71214">
      <w:pPr>
        <w:spacing w:after="0"/>
        <w:ind w:left="360"/>
        <w:rPr>
          <w:rFonts w:ascii="Arial" w:hAnsi="Arial" w:cs="Arial"/>
          <w:sz w:val="24"/>
          <w:szCs w:val="24"/>
        </w:rPr>
      </w:pPr>
      <w:proofErr w:type="spellStart"/>
      <w:r w:rsidRPr="00353040">
        <w:rPr>
          <w:rFonts w:ascii="Arial" w:eastAsia="Verdana" w:hAnsi="Arial" w:cs="Arial"/>
          <w:color w:val="373D42"/>
          <w:sz w:val="24"/>
          <w:szCs w:val="24"/>
        </w:rPr>
        <w:t>BIFMA</w:t>
      </w:r>
      <w:proofErr w:type="spellEnd"/>
      <w:r w:rsidRPr="00353040">
        <w:rPr>
          <w:rFonts w:ascii="Arial" w:eastAsia="Verdana" w:hAnsi="Arial" w:cs="Arial"/>
          <w:color w:val="373D42"/>
          <w:sz w:val="24"/>
          <w:szCs w:val="24"/>
        </w:rPr>
        <w:t xml:space="preserve"> – Level</w:t>
      </w:r>
      <w:r w:rsidR="00347BAB" w:rsidRPr="00353040">
        <w:rPr>
          <w:rFonts w:ascii="Arial" w:eastAsia="Verdana" w:hAnsi="Arial" w:cs="Arial"/>
          <w:color w:val="373D42"/>
          <w:sz w:val="24"/>
          <w:szCs w:val="24"/>
        </w:rPr>
        <w:t xml:space="preserve">  </w:t>
      </w:r>
      <w:hyperlink r:id="rId23" w:history="1">
        <w:r w:rsidR="00353040" w:rsidRPr="00710B84">
          <w:rPr>
            <w:rStyle w:val="Hyperlink"/>
            <w:rFonts w:ascii="Arial" w:hAnsi="Arial" w:cs="Arial"/>
            <w:sz w:val="24"/>
            <w:szCs w:val="24"/>
          </w:rPr>
          <w:t>https://www.bifma.org/page/level</w:t>
        </w:r>
      </w:hyperlink>
    </w:p>
    <w:p w14:paraId="7DA13848" w14:textId="77777777" w:rsidR="00A71214" w:rsidRPr="007400CC" w:rsidRDefault="00A71214" w:rsidP="00353040">
      <w:pPr>
        <w:spacing w:after="0"/>
        <w:rPr>
          <w:rFonts w:ascii="Arial" w:hAnsi="Arial" w:cs="Arial"/>
          <w:color w:val="000000"/>
          <w:sz w:val="16"/>
          <w:szCs w:val="16"/>
          <w:shd w:val="clear" w:color="auto" w:fill="FFFFFF"/>
        </w:rPr>
      </w:pPr>
    </w:p>
    <w:p w14:paraId="14666BEF" w14:textId="411C8182" w:rsidR="00D9097B" w:rsidRPr="00C76531" w:rsidRDefault="002967D4" w:rsidP="00353040">
      <w:pPr>
        <w:spacing w:after="0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C76531">
        <w:rPr>
          <w:rFonts w:ascii="Arial" w:hAnsi="Arial" w:cs="Arial"/>
          <w:color w:val="000000"/>
          <w:sz w:val="24"/>
          <w:szCs w:val="24"/>
          <w:shd w:val="clear" w:color="auto" w:fill="FFFFFF"/>
        </w:rPr>
        <w:t>Developed by the Business and International Furniture Manufacturers Association (</w:t>
      </w:r>
      <w:proofErr w:type="spellStart"/>
      <w:r w:rsidRPr="00C76531">
        <w:rPr>
          <w:rFonts w:ascii="Arial" w:hAnsi="Arial" w:cs="Arial"/>
          <w:color w:val="000000"/>
          <w:sz w:val="24"/>
          <w:szCs w:val="24"/>
          <w:shd w:val="clear" w:color="auto" w:fill="FFFFFF"/>
        </w:rPr>
        <w:t>BIFMA</w:t>
      </w:r>
      <w:proofErr w:type="spellEnd"/>
      <w:r w:rsidRPr="00C76531">
        <w:rPr>
          <w:rFonts w:ascii="Arial" w:hAnsi="Arial" w:cs="Arial"/>
          <w:color w:val="000000"/>
          <w:sz w:val="24"/>
          <w:szCs w:val="24"/>
          <w:shd w:val="clear" w:color="auto" w:fill="FFFFFF"/>
        </w:rPr>
        <w:t>), LEVEL® is a multi-attribute standard created to deliver the most open and transparent means of evaluating and communicating the environmental and social impacts of furniture products in the built environment.</w:t>
      </w:r>
    </w:p>
    <w:p w14:paraId="5484FFF6" w14:textId="77777777" w:rsidR="00B10CF7" w:rsidRPr="007400CC" w:rsidRDefault="00B10CF7" w:rsidP="00A71214">
      <w:pPr>
        <w:spacing w:after="0"/>
        <w:ind w:left="360"/>
        <w:rPr>
          <w:rFonts w:ascii="Arial" w:hAnsi="Arial" w:cs="Arial"/>
          <w:sz w:val="16"/>
          <w:szCs w:val="16"/>
        </w:rPr>
      </w:pPr>
    </w:p>
    <w:p w14:paraId="547B850D" w14:textId="7AB5BE4A" w:rsidR="00D9097B" w:rsidRPr="00C76531" w:rsidRDefault="00BD1D90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BREEAM and BIU</w:t>
      </w:r>
    </w:p>
    <w:p w14:paraId="5C1866A9" w14:textId="666CEC5C" w:rsidR="00347BAB" w:rsidRPr="007400CC" w:rsidRDefault="00347BAB" w:rsidP="007400CC">
      <w:pPr>
        <w:rPr>
          <w:rStyle w:val="Hyperlink"/>
          <w:rFonts w:ascii="Arial" w:eastAsia="Open Sans" w:hAnsi="Arial" w:cs="Arial"/>
        </w:rPr>
      </w:pPr>
      <w:hyperlink r:id="rId24" w:history="1">
        <w:r w:rsidRPr="007400CC">
          <w:rPr>
            <w:rStyle w:val="Hyperlink"/>
            <w:rFonts w:ascii="Arial" w:eastAsia="Open Sans" w:hAnsi="Arial" w:cs="Arial"/>
          </w:rPr>
          <w:t>https://files.bregroup.com/breeam/consultations/BREEAM-In-Use-International-Commercial-V6-Summary-of-changes.pdf</w:t>
        </w:r>
      </w:hyperlink>
    </w:p>
    <w:p w14:paraId="69E2F288" w14:textId="42062661" w:rsidR="00BD1D90" w:rsidRDefault="00BD1D90" w:rsidP="007400CC">
      <w:pPr>
        <w:spacing w:after="0"/>
        <w:rPr>
          <w:rFonts w:ascii="Arial" w:eastAsia="Open Sans" w:hAnsi="Arial" w:cs="Arial"/>
          <w:color w:val="0F192D"/>
          <w:sz w:val="24"/>
          <w:szCs w:val="24"/>
        </w:rPr>
      </w:pPr>
      <w:r w:rsidRPr="00C76531">
        <w:rPr>
          <w:rFonts w:ascii="Arial" w:eastAsia="Open Sans" w:hAnsi="Arial" w:cs="Arial"/>
          <w:color w:val="0F192D"/>
          <w:sz w:val="24"/>
          <w:szCs w:val="24"/>
        </w:rPr>
        <w:t>BREEAM points are available for items reused in situ. Furniture is included as one of the potential elements that can be reused.</w:t>
      </w:r>
    </w:p>
    <w:p w14:paraId="00FB3521" w14:textId="77777777" w:rsidR="007400CC" w:rsidRPr="007400CC" w:rsidRDefault="007400CC" w:rsidP="007400CC">
      <w:pPr>
        <w:spacing w:after="0"/>
        <w:ind w:left="360"/>
        <w:rPr>
          <w:rFonts w:ascii="Arial" w:eastAsia="Open Sans" w:hAnsi="Arial" w:cs="Arial"/>
          <w:color w:val="0F192D"/>
          <w:sz w:val="16"/>
          <w:szCs w:val="16"/>
        </w:rPr>
      </w:pPr>
    </w:p>
    <w:p w14:paraId="7B5983C2" w14:textId="77777777" w:rsidR="00347BAB" w:rsidRPr="00C76531" w:rsidRDefault="00D9097B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 xml:space="preserve">Circular Procurement in 8 steps. </w:t>
      </w:r>
    </w:p>
    <w:p w14:paraId="34EC0DFB" w14:textId="5F846219" w:rsidR="00347BAB" w:rsidRDefault="00347BAB" w:rsidP="007400CC">
      <w:pPr>
        <w:spacing w:after="0"/>
        <w:rPr>
          <w:rStyle w:val="Hyperlink"/>
          <w:rFonts w:ascii="Arial" w:hAnsi="Arial" w:cs="Arial"/>
        </w:rPr>
      </w:pPr>
      <w:hyperlink r:id="rId25" w:history="1">
        <w:r w:rsidRPr="007400CC">
          <w:rPr>
            <w:rStyle w:val="Hyperlink"/>
            <w:rFonts w:ascii="Arial" w:hAnsi="Arial" w:cs="Arial"/>
          </w:rPr>
          <w:t>https://www.copper8.com/wp-content/uploads/2018/10/Circular-Procurement-in-8-steps-Ebook.pdf</w:t>
        </w:r>
      </w:hyperlink>
    </w:p>
    <w:p w14:paraId="74B4474C" w14:textId="77777777" w:rsidR="007400CC" w:rsidRPr="007400CC" w:rsidRDefault="007400CC" w:rsidP="007400CC">
      <w:pPr>
        <w:spacing w:after="0"/>
        <w:rPr>
          <w:rStyle w:val="Hyperlink"/>
          <w:rFonts w:ascii="Arial" w:hAnsi="Arial" w:cs="Arial"/>
          <w:sz w:val="16"/>
          <w:szCs w:val="16"/>
        </w:rPr>
      </w:pPr>
    </w:p>
    <w:p w14:paraId="32A47F0C" w14:textId="77777777" w:rsidR="003D3A05" w:rsidRPr="00C76531" w:rsidRDefault="003D3A05" w:rsidP="00A71214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 xml:space="preserve">Public Procurement of Reconditioned Furniture and the Potential Transition to product service systems solutions. Science Direct 2019.  </w:t>
      </w:r>
    </w:p>
    <w:p w14:paraId="6BAAB4F7" w14:textId="77777777" w:rsidR="003D3A05" w:rsidRPr="007400CC" w:rsidRDefault="003D3A05" w:rsidP="007400CC">
      <w:pPr>
        <w:rPr>
          <w:rFonts w:ascii="Arial" w:hAnsi="Arial" w:cs="Arial"/>
        </w:rPr>
      </w:pPr>
      <w:hyperlink r:id="rId26" w:history="1">
        <w:r w:rsidRPr="007400CC">
          <w:rPr>
            <w:rStyle w:val="Hyperlink"/>
            <w:rFonts w:ascii="Arial" w:hAnsi="Arial" w:cs="Arial"/>
          </w:rPr>
          <w:t>https://www.sciencedirect.com/science/article/pii/S2212827119302550</w:t>
        </w:r>
      </w:hyperlink>
    </w:p>
    <w:p w14:paraId="77D516A9" w14:textId="77777777" w:rsidR="008466AB" w:rsidRPr="007400CC" w:rsidRDefault="008466AB" w:rsidP="008466AB">
      <w:pPr>
        <w:pStyle w:val="Default"/>
        <w:rPr>
          <w:rFonts w:ascii="Arial" w:hAnsi="Arial" w:cs="Arial"/>
          <w:sz w:val="16"/>
          <w:szCs w:val="16"/>
        </w:rPr>
      </w:pPr>
    </w:p>
    <w:p w14:paraId="7E1A5945" w14:textId="3EA42D7D" w:rsidR="008466AB" w:rsidRPr="00C76531" w:rsidRDefault="008466AB" w:rsidP="008466AB">
      <w:pPr>
        <w:pStyle w:val="Default"/>
        <w:rPr>
          <w:rFonts w:ascii="Arial" w:hAnsi="Arial" w:cs="Arial"/>
          <w:color w:val="0563C1" w:themeColor="hyperlink"/>
          <w:u w:val="single"/>
        </w:rPr>
      </w:pPr>
      <w:r w:rsidRPr="00C76531">
        <w:rPr>
          <w:rFonts w:ascii="Arial" w:hAnsi="Arial" w:cs="Arial"/>
        </w:rPr>
        <w:t xml:space="preserve">19. </w:t>
      </w:r>
      <w:r w:rsidR="00216B5D" w:rsidRPr="00C76531">
        <w:rPr>
          <w:rFonts w:ascii="Arial" w:hAnsi="Arial" w:cs="Arial"/>
          <w:b/>
          <w:bCs/>
        </w:rPr>
        <w:t>EU List of Critical Raw Materials</w:t>
      </w:r>
    </w:p>
    <w:p w14:paraId="1815E149" w14:textId="1D69C795" w:rsidR="00216B5D" w:rsidRPr="007400CC" w:rsidRDefault="00216B5D" w:rsidP="007400CC">
      <w:pPr>
        <w:pStyle w:val="ListParagraph"/>
        <w:ind w:left="0"/>
        <w:rPr>
          <w:rStyle w:val="Hyperlink"/>
          <w:rFonts w:ascii="Arial" w:hAnsi="Arial" w:cs="Arial"/>
        </w:rPr>
      </w:pPr>
      <w:hyperlink r:id="rId27" w:history="1">
        <w:r w:rsidRPr="007400CC">
          <w:rPr>
            <w:rStyle w:val="Hyperlink"/>
            <w:rFonts w:ascii="Arial" w:hAnsi="Arial" w:cs="Arial"/>
          </w:rPr>
          <w:t>https://ec.europa.eu/commission/presscorner/detail/en/ip_20_1542</w:t>
        </w:r>
      </w:hyperlink>
    </w:p>
    <w:p w14:paraId="7AC6AFCB" w14:textId="77777777" w:rsidR="000C6F01" w:rsidRPr="007400CC" w:rsidRDefault="000C6F01" w:rsidP="00A71214">
      <w:pPr>
        <w:pStyle w:val="ListParagraph"/>
        <w:spacing w:after="0"/>
        <w:ind w:left="360"/>
        <w:rPr>
          <w:rFonts w:ascii="Arial" w:hAnsi="Arial" w:cs="Arial"/>
          <w:sz w:val="16"/>
          <w:szCs w:val="16"/>
        </w:rPr>
      </w:pPr>
    </w:p>
    <w:p w14:paraId="4FAE283B" w14:textId="2270604E" w:rsidR="005E68C1" w:rsidRPr="00C76531" w:rsidRDefault="000C6F01" w:rsidP="00A71214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Further c</w:t>
      </w:r>
      <w:r w:rsidR="005E68C1" w:rsidRPr="00C76531">
        <w:rPr>
          <w:rFonts w:ascii="Arial" w:hAnsi="Arial" w:cs="Arial"/>
          <w:b/>
          <w:bCs/>
          <w:sz w:val="24"/>
          <w:szCs w:val="24"/>
        </w:rPr>
        <w:t>ase studies from the EU:</w:t>
      </w:r>
    </w:p>
    <w:p w14:paraId="4C2B4BD4" w14:textId="7D2E7E01" w:rsidR="00A71214" w:rsidRDefault="002A112C" w:rsidP="00A71214">
      <w:pPr>
        <w:spacing w:after="0"/>
        <w:rPr>
          <w:rFonts w:ascii="Arial" w:hAnsi="Arial" w:cs="Arial"/>
          <w:sz w:val="24"/>
          <w:szCs w:val="24"/>
        </w:rPr>
      </w:pPr>
      <w:hyperlink r:id="rId28" w:history="1">
        <w:r w:rsidRPr="006A023A">
          <w:rPr>
            <w:rStyle w:val="Hyperlink"/>
            <w:rFonts w:ascii="Arial" w:hAnsi="Arial" w:cs="Arial"/>
            <w:sz w:val="24"/>
            <w:szCs w:val="24"/>
          </w:rPr>
          <w:t>https://circabc.europa.eu/ui/group/44278090-3fae-4515-bcc2-44fd57c1d0d1/library/1294d641-9e8c-482d-a8ff-fdde05dffd48?p=1&amp;n=-1&amp;sort=name_ASC</w:t>
        </w:r>
      </w:hyperlink>
    </w:p>
    <w:p w14:paraId="6A8F382B" w14:textId="77777777" w:rsidR="002A112C" w:rsidRPr="007400CC" w:rsidRDefault="002A112C" w:rsidP="00A71214">
      <w:pPr>
        <w:spacing w:after="0"/>
        <w:rPr>
          <w:rFonts w:ascii="Arial" w:hAnsi="Arial" w:cs="Arial"/>
          <w:sz w:val="16"/>
          <w:szCs w:val="16"/>
        </w:rPr>
      </w:pPr>
    </w:p>
    <w:p w14:paraId="22986854" w14:textId="425021D5" w:rsidR="00867F11" w:rsidRPr="00C76531" w:rsidRDefault="00867F11" w:rsidP="008466AB">
      <w:pPr>
        <w:pStyle w:val="ListParagraph"/>
        <w:numPr>
          <w:ilvl w:val="0"/>
          <w:numId w:val="4"/>
        </w:numPr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 xml:space="preserve">Denmark – Municipality of Aalborg - Circular procurement for a sustainable learning environment </w:t>
      </w:r>
    </w:p>
    <w:p w14:paraId="3B4FA285" w14:textId="69129AAA" w:rsidR="00B604AB" w:rsidRPr="007400CC" w:rsidRDefault="00843CE4" w:rsidP="007400CC">
      <w:pPr>
        <w:pStyle w:val="ListParagraph"/>
        <w:ind w:left="0"/>
        <w:rPr>
          <w:rFonts w:ascii="Arial" w:hAnsi="Arial" w:cs="Arial"/>
        </w:rPr>
      </w:pPr>
      <w:hyperlink r:id="rId29" w:history="1">
        <w:r>
          <w:rPr>
            <w:rStyle w:val="Hyperlink"/>
            <w:rFonts w:ascii="Arial" w:hAnsi="Arial" w:cs="Arial"/>
          </w:rPr>
          <w:t>https://ec.europa.eu/environment/gpp/pdf/news_alert/Issue79_Case_Study_155_Aalborg.pdf</w:t>
        </w:r>
      </w:hyperlink>
    </w:p>
    <w:p w14:paraId="59AA1126" w14:textId="77777777" w:rsidR="00B604AB" w:rsidRPr="007400CC" w:rsidRDefault="00B604AB" w:rsidP="00867F11">
      <w:pPr>
        <w:pStyle w:val="ListParagraph"/>
        <w:ind w:left="360"/>
        <w:rPr>
          <w:rFonts w:ascii="Arial" w:hAnsi="Arial" w:cs="Arial"/>
          <w:sz w:val="16"/>
          <w:szCs w:val="16"/>
        </w:rPr>
      </w:pPr>
    </w:p>
    <w:p w14:paraId="0FE8F339" w14:textId="0F5AA0C5" w:rsidR="00D730F7" w:rsidRPr="00C76531" w:rsidRDefault="00A03C41" w:rsidP="008466AB">
      <w:pPr>
        <w:pStyle w:val="ListParagraph"/>
        <w:numPr>
          <w:ilvl w:val="0"/>
          <w:numId w:val="4"/>
        </w:numPr>
        <w:rPr>
          <w:rFonts w:ascii="Arial" w:hAnsi="Arial" w:cs="Arial"/>
          <w:b/>
          <w:bCs/>
          <w:sz w:val="24"/>
          <w:szCs w:val="24"/>
        </w:rPr>
      </w:pPr>
      <w:r w:rsidRPr="00C76531">
        <w:rPr>
          <w:rFonts w:ascii="Arial" w:hAnsi="Arial" w:cs="Arial"/>
          <w:b/>
          <w:bCs/>
          <w:sz w:val="24"/>
          <w:szCs w:val="24"/>
        </w:rPr>
        <w:t>Malmo Sweden</w:t>
      </w:r>
    </w:p>
    <w:p w14:paraId="7764E242" w14:textId="27FC8478" w:rsidR="008D4CDE" w:rsidRPr="007400CC" w:rsidRDefault="00405ECE" w:rsidP="007400CC">
      <w:pPr>
        <w:pStyle w:val="ListParagraph"/>
        <w:ind w:left="0"/>
        <w:rPr>
          <w:rFonts w:ascii="Arial" w:hAnsi="Arial" w:cs="Arial"/>
        </w:rPr>
      </w:pPr>
      <w:hyperlink r:id="rId30" w:history="1">
        <w:r>
          <w:rPr>
            <w:rStyle w:val="Hyperlink"/>
            <w:rFonts w:ascii="Arial" w:hAnsi="Arial" w:cs="Arial"/>
          </w:rPr>
          <w:t>https://ec.europa.eu/environment/gpp/pdf/news_alert/Issue_88_Case_Study_169_Malmo.pdf</w:t>
        </w:r>
      </w:hyperlink>
    </w:p>
    <w:p w14:paraId="66899462" w14:textId="77777777" w:rsidR="00B604AB" w:rsidRPr="007400CC" w:rsidRDefault="00B604AB" w:rsidP="003D3A05">
      <w:pPr>
        <w:pStyle w:val="ListParagraph"/>
        <w:ind w:left="360"/>
        <w:rPr>
          <w:rFonts w:ascii="Arial" w:hAnsi="Arial" w:cs="Arial"/>
          <w:sz w:val="16"/>
          <w:szCs w:val="16"/>
        </w:rPr>
      </w:pPr>
    </w:p>
    <w:p w14:paraId="1D2F250E" w14:textId="78BE81F7" w:rsidR="008D4CDE" w:rsidRPr="007400CC" w:rsidRDefault="00A03C41" w:rsidP="007400CC">
      <w:pPr>
        <w:pStyle w:val="ListParagraph"/>
        <w:numPr>
          <w:ilvl w:val="0"/>
          <w:numId w:val="4"/>
        </w:numPr>
        <w:ind w:left="0" w:firstLine="0"/>
        <w:rPr>
          <w:rFonts w:ascii="Arial" w:hAnsi="Arial" w:cs="Arial"/>
        </w:rPr>
      </w:pPr>
      <w:r w:rsidRPr="00C76531">
        <w:rPr>
          <w:rFonts w:ascii="Arial" w:hAnsi="Arial" w:cs="Arial"/>
          <w:b/>
          <w:bCs/>
          <w:sz w:val="24"/>
          <w:szCs w:val="24"/>
        </w:rPr>
        <w:t>Netherlands</w:t>
      </w:r>
      <w:r w:rsidR="0060165E" w:rsidRPr="00C76531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31" w:history="1">
        <w:r w:rsidR="001D05EC">
          <w:rPr>
            <w:rStyle w:val="Hyperlink"/>
            <w:rFonts w:ascii="Arial" w:hAnsi="Arial" w:cs="Arial"/>
          </w:rPr>
          <w:t>https://ec.europa.eu/environment/gpp/pdf/news_alert/Issue69_Case_Study_138_Wageningen.pdf</w:t>
        </w:r>
      </w:hyperlink>
    </w:p>
    <w:p w14:paraId="47A63095" w14:textId="77777777" w:rsidR="00C37A37" w:rsidRPr="00C76531" w:rsidRDefault="00C37A37" w:rsidP="00C37A37">
      <w:pPr>
        <w:pStyle w:val="ListParagraph"/>
        <w:ind w:left="360"/>
        <w:rPr>
          <w:rFonts w:ascii="Arial" w:hAnsi="Arial" w:cs="Arial"/>
          <w:sz w:val="24"/>
          <w:szCs w:val="24"/>
        </w:rPr>
      </w:pPr>
    </w:p>
    <w:sectPr w:rsidR="00C37A37" w:rsidRPr="00C76531">
      <w:footerReference w:type="default" r:id="rId3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425656" w14:textId="77777777" w:rsidR="00E80038" w:rsidRDefault="00E80038" w:rsidP="00347BAB">
      <w:pPr>
        <w:spacing w:after="0" w:line="240" w:lineRule="auto"/>
      </w:pPr>
      <w:r>
        <w:separator/>
      </w:r>
    </w:p>
  </w:endnote>
  <w:endnote w:type="continuationSeparator" w:id="0">
    <w:p w14:paraId="4BB7F590" w14:textId="77777777" w:rsidR="00E80038" w:rsidRDefault="00E80038" w:rsidP="00347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1683992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EBFF92" w14:textId="7EB4890D" w:rsidR="00347BAB" w:rsidRDefault="00347BA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E76BA1" w14:textId="77777777" w:rsidR="00347BAB" w:rsidRDefault="00347B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104517" w14:textId="77777777" w:rsidR="00E80038" w:rsidRDefault="00E80038" w:rsidP="00347BAB">
      <w:pPr>
        <w:spacing w:after="0" w:line="240" w:lineRule="auto"/>
      </w:pPr>
      <w:r>
        <w:separator/>
      </w:r>
    </w:p>
  </w:footnote>
  <w:footnote w:type="continuationSeparator" w:id="0">
    <w:p w14:paraId="29FC72DD" w14:textId="77777777" w:rsidR="00E80038" w:rsidRDefault="00E80038" w:rsidP="00347B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3BC0D1D"/>
    <w:multiLevelType w:val="hybridMultilevel"/>
    <w:tmpl w:val="CC8A5F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79500C"/>
    <w:multiLevelType w:val="hybridMultilevel"/>
    <w:tmpl w:val="2CBA40A6"/>
    <w:lvl w:ilvl="0" w:tplc="93163922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0A2EFE"/>
    <w:multiLevelType w:val="hybridMultilevel"/>
    <w:tmpl w:val="87646DDC"/>
    <w:lvl w:ilvl="0" w:tplc="0809000F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62700E3"/>
    <w:multiLevelType w:val="hybridMultilevel"/>
    <w:tmpl w:val="CC8A5FF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8207853">
    <w:abstractNumId w:val="3"/>
  </w:num>
  <w:num w:numId="2" w16cid:durableId="886842965">
    <w:abstractNumId w:val="1"/>
  </w:num>
  <w:num w:numId="3" w16cid:durableId="1023507734">
    <w:abstractNumId w:val="0"/>
  </w:num>
  <w:num w:numId="4" w16cid:durableId="5543883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82B"/>
    <w:rsid w:val="00053AC2"/>
    <w:rsid w:val="000A008D"/>
    <w:rsid w:val="000A1B90"/>
    <w:rsid w:val="000C3660"/>
    <w:rsid w:val="000C6F01"/>
    <w:rsid w:val="00152B85"/>
    <w:rsid w:val="0017582B"/>
    <w:rsid w:val="001D05EC"/>
    <w:rsid w:val="00216B5D"/>
    <w:rsid w:val="002967D4"/>
    <w:rsid w:val="002A112C"/>
    <w:rsid w:val="00347BAB"/>
    <w:rsid w:val="00353040"/>
    <w:rsid w:val="003732C1"/>
    <w:rsid w:val="00373877"/>
    <w:rsid w:val="003D3A05"/>
    <w:rsid w:val="0040582D"/>
    <w:rsid w:val="00405ECE"/>
    <w:rsid w:val="004700E7"/>
    <w:rsid w:val="004D277A"/>
    <w:rsid w:val="004F0BE4"/>
    <w:rsid w:val="004F7D53"/>
    <w:rsid w:val="005E68C1"/>
    <w:rsid w:val="005E72A6"/>
    <w:rsid w:val="0060165E"/>
    <w:rsid w:val="006120A2"/>
    <w:rsid w:val="0064414C"/>
    <w:rsid w:val="006C6927"/>
    <w:rsid w:val="006D4469"/>
    <w:rsid w:val="007400CC"/>
    <w:rsid w:val="007A08D4"/>
    <w:rsid w:val="007B67D3"/>
    <w:rsid w:val="007D4300"/>
    <w:rsid w:val="00801D25"/>
    <w:rsid w:val="0080230D"/>
    <w:rsid w:val="0080474E"/>
    <w:rsid w:val="00843CE4"/>
    <w:rsid w:val="008466AB"/>
    <w:rsid w:val="0086740E"/>
    <w:rsid w:val="00867F11"/>
    <w:rsid w:val="008A21CD"/>
    <w:rsid w:val="008D4CDE"/>
    <w:rsid w:val="009061D5"/>
    <w:rsid w:val="009971BC"/>
    <w:rsid w:val="009C260B"/>
    <w:rsid w:val="00A03C41"/>
    <w:rsid w:val="00A14D46"/>
    <w:rsid w:val="00A70C32"/>
    <w:rsid w:val="00A71214"/>
    <w:rsid w:val="00B10CF7"/>
    <w:rsid w:val="00B604AB"/>
    <w:rsid w:val="00BD1D90"/>
    <w:rsid w:val="00C37A37"/>
    <w:rsid w:val="00C76531"/>
    <w:rsid w:val="00C83D20"/>
    <w:rsid w:val="00D61152"/>
    <w:rsid w:val="00D730F7"/>
    <w:rsid w:val="00D9097B"/>
    <w:rsid w:val="00D91780"/>
    <w:rsid w:val="00E03E22"/>
    <w:rsid w:val="00E25DAD"/>
    <w:rsid w:val="00E80038"/>
    <w:rsid w:val="00ED2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E5FD77"/>
  <w15:chartTrackingRefBased/>
  <w15:docId w15:val="{B1F0DF1F-6393-4BBA-9631-5ECCDE4B4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582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7582B"/>
    <w:rPr>
      <w:color w:val="605E5C"/>
      <w:shd w:val="clear" w:color="auto" w:fill="E1DFDD"/>
    </w:rPr>
  </w:style>
  <w:style w:type="paragraph" w:customStyle="1" w:styleId="Default">
    <w:name w:val="Default"/>
    <w:rsid w:val="00C83D20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character" w:customStyle="1" w:styleId="highlight">
    <w:name w:val="highlight"/>
    <w:basedOn w:val="DefaultParagraphFont"/>
    <w:rsid w:val="00D9097B"/>
  </w:style>
  <w:style w:type="paragraph" w:styleId="ListParagraph">
    <w:name w:val="List Paragraph"/>
    <w:basedOn w:val="Normal"/>
    <w:uiPriority w:val="34"/>
    <w:qFormat/>
    <w:rsid w:val="00A03C41"/>
    <w:pPr>
      <w:ind w:left="720"/>
      <w:contextualSpacing/>
    </w:pPr>
  </w:style>
  <w:style w:type="paragraph" w:customStyle="1" w:styleId="paragraph">
    <w:name w:val="paragraph"/>
    <w:basedOn w:val="Normal"/>
    <w:rsid w:val="004F0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4F0BE4"/>
  </w:style>
  <w:style w:type="character" w:styleId="FollowedHyperlink">
    <w:name w:val="FollowedHyperlink"/>
    <w:basedOn w:val="DefaultParagraphFont"/>
    <w:uiPriority w:val="99"/>
    <w:semiHidden/>
    <w:unhideWhenUsed/>
    <w:rsid w:val="00152B85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47B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7BAB"/>
  </w:style>
  <w:style w:type="paragraph" w:styleId="Footer">
    <w:name w:val="footer"/>
    <w:basedOn w:val="Normal"/>
    <w:link w:val="FooterChar"/>
    <w:uiPriority w:val="99"/>
    <w:unhideWhenUsed/>
    <w:rsid w:val="00347B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7B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procirc.zerowastescotland.org.uk/" TargetMode="External"/><Relationship Id="rId18" Type="http://schemas.openxmlformats.org/officeDocument/2006/relationships/hyperlink" Target="https://wrapcymru.org.uk/sites/default/files/2022-09/Case%20Study%20WCVA%20%28002%29%20FINAL.pdf" TargetMode="External"/><Relationship Id="rId26" Type="http://schemas.openxmlformats.org/officeDocument/2006/relationships/hyperlink" Target="https://www.sciencedirect.com/science/article/pii/S2212827119302550" TargetMode="External"/><Relationship Id="rId3" Type="http://schemas.openxmlformats.org/officeDocument/2006/relationships/styles" Target="styles.xml"/><Relationship Id="rId21" Type="http://schemas.openxmlformats.org/officeDocument/2006/relationships/hyperlink" Target="https://eeb.org/wp-content/uploads/2019/05/Report-on-the-Circular-Economy-in-the-Furniture-Sector.pdf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zerowastescotland.org.uk/resources/circular-procurement" TargetMode="External"/><Relationship Id="rId17" Type="http://schemas.openxmlformats.org/officeDocument/2006/relationships/hyperlink" Target="https://northsearegion.eu/procirc/news/pioneering-the-circular-procurement-of-furniture/" TargetMode="External"/><Relationship Id="rId25" Type="http://schemas.openxmlformats.org/officeDocument/2006/relationships/hyperlink" Target="https://www.copper8.com/wp-content/uploads/2018/10/Circular-Procurement-in-8-steps-Ebook.pdf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circabc.europa.eu/ui/group/44278090-3fae-4515-bcc2-44fd57c1d0d1/library/004415d4-4bb0-4b74-8f3c-8e7bb220cea3/details" TargetMode="External"/><Relationship Id="rId20" Type="http://schemas.openxmlformats.org/officeDocument/2006/relationships/hyperlink" Target="https://www.thecrownestate.co.uk/media/1748/sustainability-fit-out-guide-offices.pdf" TargetMode="External"/><Relationship Id="rId29" Type="http://schemas.openxmlformats.org/officeDocument/2006/relationships/hyperlink" Target="https://ec.europa.eu/environment/gpp/pdf/news_alert/Issue79_Case_Study_155_Aalborg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home.scotland-excel.org.uk/newsroom/case-studies/one-stop-shop-for-domestic-furniture-and-furnishings-is-helping-scotland-s-communities/" TargetMode="External"/><Relationship Id="rId24" Type="http://schemas.openxmlformats.org/officeDocument/2006/relationships/hyperlink" Target="https://files.bregroup.com/breeam/consultations/BREEAM-In-Use-International-Commercial-V6-Summary-of-changes.pdf" TargetMode="External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ec.europa.eu/environment/gpp/eu_gpp_criteria_en.htm" TargetMode="External"/><Relationship Id="rId23" Type="http://schemas.openxmlformats.org/officeDocument/2006/relationships/hyperlink" Target="https://www.bifma.org/page/level" TargetMode="External"/><Relationship Id="rId28" Type="http://schemas.openxmlformats.org/officeDocument/2006/relationships/hyperlink" Target="https://circabc.europa.eu/ui/group/44278090-3fae-4515-bcc2-44fd57c1d0d1/library/1294d641-9e8c-482d-a8ff-fdde05dffd48?p=1&amp;n=-1&amp;sort=name_ASC" TargetMode="External"/><Relationship Id="rId10" Type="http://schemas.openxmlformats.org/officeDocument/2006/relationships/hyperlink" Target="http://www.scotland-excel.org.uk/" TargetMode="External"/><Relationship Id="rId19" Type="http://schemas.openxmlformats.org/officeDocument/2006/relationships/hyperlink" Target="https://www.bitc.org.uk/report/the-circular-office-guide/" TargetMode="External"/><Relationship Id="rId31" Type="http://schemas.openxmlformats.org/officeDocument/2006/relationships/hyperlink" Target="https://ec.europa.eu/environment/gpp/pdf/news_alert/Issue69_Case_Study_138_Wageningen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logs.gov.scot/public-procurement/2019/12/02/sustainable-procurement-duty-the-circular-economy-case-study/" TargetMode="External"/><Relationship Id="rId14" Type="http://schemas.openxmlformats.org/officeDocument/2006/relationships/hyperlink" Target="https://www.gov.uk/government/publications/sustainable-procurement-the-gbs-for-furniture" TargetMode="External"/><Relationship Id="rId22" Type="http://schemas.openxmlformats.org/officeDocument/2006/relationships/hyperlink" Target="https://www.rics.org/about-rics/responsible-business/ska-rating" TargetMode="External"/><Relationship Id="rId27" Type="http://schemas.openxmlformats.org/officeDocument/2006/relationships/hyperlink" Target="https://ec.europa.eu/commission/presscorner/detail/en/ip_20_1542" TargetMode="External"/><Relationship Id="rId30" Type="http://schemas.openxmlformats.org/officeDocument/2006/relationships/hyperlink" Target="https://ec.europa.eu/environment/gpp/pdf/news_alert/Issue_88_Case_Study_169_Malmo.pdf" TargetMode="External"/><Relationship Id="rId8" Type="http://schemas.openxmlformats.org/officeDocument/2006/relationships/hyperlink" Target="https://blogs.gov.scot/public-procurement/2023/03/01/supported-businesses-an-important-part-of-procuremen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A45728418</value>
    </field>
    <field name="Objective-Title">
      <value order="0">Furniture - Resources</value>
    </field>
    <field name="Objective-Description">
      <value order="0"/>
    </field>
    <field name="Objective-CreationStamp">
      <value order="0">2023-10-26T14:15:28Z</value>
    </field>
    <field name="Objective-IsApproved">
      <value order="0">false</value>
    </field>
    <field name="Objective-IsPublished">
      <value order="0">true</value>
    </field>
    <field name="Objective-DatePublished">
      <value order="0">2023-12-07T12:14:55Z</value>
    </field>
    <field name="Objective-ModificationStamp">
      <value order="0">2023-12-07T12:14:56Z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Published</value>
    </field>
    <field name="Objective-VersionId">
      <value order="0">vA69508799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1101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Morton</dc:creator>
  <cp:keywords/>
  <dc:description/>
  <cp:lastModifiedBy>Alex Forrest</cp:lastModifiedBy>
  <cp:revision>7</cp:revision>
  <dcterms:created xsi:type="dcterms:W3CDTF">2023-12-07T12:16:00Z</dcterms:created>
  <dcterms:modified xsi:type="dcterms:W3CDTF">2025-02-05T10:49:00Z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A45728418</vt:lpwstr>
  </property>
  <property fmtid="{D5CDD505-2E9C-101B-9397-08002B2CF9AE}" pid="4" name="Objective-Title">
    <vt:lpwstr>Furniture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2023-10-26T14:15:28Z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2023-12-07T12:14:55Z</vt:filetime>
  </property>
  <property fmtid="{D5CDD505-2E9C-101B-9397-08002B2CF9AE}" pid="10" name="Objective-ModificationStamp">
    <vt:filetime>2023-12-07T12:14:56Z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vA69508799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